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BCCD" w14:textId="59EE237A" w:rsidR="008030DC" w:rsidRDefault="00FF0E71" w:rsidP="005B64A1">
      <w:pPr>
        <w:spacing w:after="0"/>
        <w:jc w:val="center"/>
        <w:rPr>
          <w:rFonts w:ascii="Arial Rounded MT Bold" w:hAnsi="Arial Rounded MT Bold"/>
          <w:sz w:val="28"/>
          <w:szCs w:val="28"/>
        </w:rPr>
      </w:pPr>
      <w:r>
        <w:rPr>
          <w:rFonts w:ascii="Arial Rounded MT Bold" w:hAnsi="Arial Rounded MT Bold"/>
          <w:sz w:val="28"/>
          <w:szCs w:val="28"/>
        </w:rPr>
        <w:t>New and Updated HR Laws for 2025</w:t>
      </w:r>
    </w:p>
    <w:p w14:paraId="052B0B37" w14:textId="581543F2" w:rsidR="00D44F8E" w:rsidRDefault="00D44F8E" w:rsidP="005B64A1">
      <w:pPr>
        <w:spacing w:after="0"/>
        <w:jc w:val="center"/>
        <w:rPr>
          <w:rFonts w:ascii="Arial" w:hAnsi="Arial" w:cs="Arial"/>
          <w:sz w:val="24"/>
          <w:szCs w:val="24"/>
        </w:rPr>
      </w:pPr>
      <w:r w:rsidRPr="005B64A1">
        <w:rPr>
          <w:rFonts w:ascii="Arial" w:hAnsi="Arial" w:cs="Arial"/>
          <w:sz w:val="24"/>
          <w:szCs w:val="24"/>
        </w:rPr>
        <w:t xml:space="preserve">Sue Allred, </w:t>
      </w:r>
      <w:r w:rsidR="005B64A1" w:rsidRPr="005B64A1">
        <w:rPr>
          <w:rFonts w:ascii="Arial" w:hAnsi="Arial" w:cs="Arial"/>
          <w:sz w:val="24"/>
          <w:szCs w:val="24"/>
        </w:rPr>
        <w:t>SPHR / SHRM-SCP</w:t>
      </w:r>
    </w:p>
    <w:p w14:paraId="73D8B1B9" w14:textId="77777777" w:rsidR="005B64A1" w:rsidRPr="005B64A1" w:rsidRDefault="005B64A1" w:rsidP="005B64A1">
      <w:pPr>
        <w:spacing w:after="0"/>
        <w:jc w:val="center"/>
        <w:rPr>
          <w:rFonts w:ascii="Arial" w:hAnsi="Arial" w:cs="Arial"/>
          <w:sz w:val="24"/>
          <w:szCs w:val="24"/>
        </w:rPr>
      </w:pPr>
    </w:p>
    <w:p w14:paraId="5EBCEE32" w14:textId="4802C6E4" w:rsidR="008030DC" w:rsidRPr="00F16342" w:rsidRDefault="00F16342" w:rsidP="00F16342">
      <w:pPr>
        <w:rPr>
          <w:rFonts w:ascii="Arial" w:hAnsi="Arial" w:cs="Arial"/>
          <w:sz w:val="24"/>
          <w:szCs w:val="24"/>
        </w:rPr>
      </w:pPr>
      <w:r>
        <w:rPr>
          <w:rFonts w:ascii="Arial" w:hAnsi="Arial" w:cs="Arial"/>
          <w:sz w:val="24"/>
          <w:szCs w:val="24"/>
        </w:rPr>
        <w:t>Here is a breakdown of</w:t>
      </w:r>
      <w:r w:rsidR="00ED0D07">
        <w:rPr>
          <w:rFonts w:ascii="Arial" w:hAnsi="Arial" w:cs="Arial"/>
          <w:sz w:val="24"/>
          <w:szCs w:val="24"/>
        </w:rPr>
        <w:t xml:space="preserve"> many of </w:t>
      </w:r>
      <w:r>
        <w:rPr>
          <w:rFonts w:ascii="Arial" w:hAnsi="Arial" w:cs="Arial"/>
          <w:sz w:val="24"/>
          <w:szCs w:val="24"/>
        </w:rPr>
        <w:t>the</w:t>
      </w:r>
      <w:r w:rsidR="00422A29">
        <w:rPr>
          <w:rFonts w:ascii="Arial" w:hAnsi="Arial" w:cs="Arial"/>
          <w:sz w:val="24"/>
          <w:szCs w:val="24"/>
        </w:rPr>
        <w:t xml:space="preserve"> Labor Laws that have gone into effect mid-2024 or </w:t>
      </w:r>
      <w:r w:rsidR="006314E2">
        <w:rPr>
          <w:rFonts w:ascii="Arial" w:hAnsi="Arial" w:cs="Arial"/>
          <w:sz w:val="24"/>
          <w:szCs w:val="24"/>
        </w:rPr>
        <w:t>that will be effective January 1, 2025.</w:t>
      </w:r>
      <w:r w:rsidR="00D44F8E">
        <w:rPr>
          <w:rFonts w:ascii="Arial" w:hAnsi="Arial" w:cs="Arial"/>
          <w:sz w:val="24"/>
          <w:szCs w:val="24"/>
        </w:rPr>
        <w:t xml:space="preserve">  Does HR sound like a foreign language to you?   Sue</w:t>
      </w:r>
      <w:r w:rsidR="00D022F4">
        <w:rPr>
          <w:rFonts w:ascii="Arial" w:hAnsi="Arial" w:cs="Arial"/>
          <w:sz w:val="24"/>
          <w:szCs w:val="24"/>
        </w:rPr>
        <w:t xml:space="preserve"> teaches a 4 ½ hour HR bootcamp class from pre-hire through termination and more!  </w:t>
      </w:r>
      <w:r w:rsidR="007C3221">
        <w:rPr>
          <w:rFonts w:ascii="Arial" w:hAnsi="Arial" w:cs="Arial"/>
          <w:sz w:val="24"/>
          <w:szCs w:val="24"/>
        </w:rPr>
        <w:t xml:space="preserve"> Cost is reasonable and c</w:t>
      </w:r>
      <w:r w:rsidR="00D022F4">
        <w:rPr>
          <w:rFonts w:ascii="Arial" w:hAnsi="Arial" w:cs="Arial"/>
          <w:sz w:val="24"/>
          <w:szCs w:val="24"/>
        </w:rPr>
        <w:t>lasses</w:t>
      </w:r>
      <w:r w:rsidR="00F613E0">
        <w:rPr>
          <w:rFonts w:ascii="Arial" w:hAnsi="Arial" w:cs="Arial"/>
          <w:sz w:val="24"/>
          <w:szCs w:val="24"/>
        </w:rPr>
        <w:t xml:space="preserve"> </w:t>
      </w:r>
      <w:r w:rsidR="007C3221">
        <w:rPr>
          <w:rFonts w:ascii="Arial" w:hAnsi="Arial" w:cs="Arial"/>
          <w:sz w:val="24"/>
          <w:szCs w:val="24"/>
        </w:rPr>
        <w:t xml:space="preserve">are </w:t>
      </w:r>
      <w:r w:rsidR="00F613E0">
        <w:rPr>
          <w:rFonts w:ascii="Arial" w:hAnsi="Arial" w:cs="Arial"/>
          <w:sz w:val="24"/>
          <w:szCs w:val="24"/>
        </w:rPr>
        <w:t>available by zoom.   More info on dates coming soon, or you can email Sue for more information at sueallred@volcano.net</w:t>
      </w:r>
      <w:r w:rsidR="00ED0D07">
        <w:rPr>
          <w:rFonts w:ascii="Arial" w:hAnsi="Arial" w:cs="Arial"/>
          <w:sz w:val="24"/>
          <w:szCs w:val="24"/>
        </w:rPr>
        <w:t>.</w:t>
      </w:r>
    </w:p>
    <w:tbl>
      <w:tblPr>
        <w:tblStyle w:val="TableGrid"/>
        <w:tblW w:w="10530" w:type="dxa"/>
        <w:tblInd w:w="-455" w:type="dxa"/>
        <w:tblLook w:val="04A0" w:firstRow="1" w:lastRow="0" w:firstColumn="1" w:lastColumn="0" w:noHBand="0" w:noVBand="1"/>
      </w:tblPr>
      <w:tblGrid>
        <w:gridCol w:w="6300"/>
        <w:gridCol w:w="4230"/>
      </w:tblGrid>
      <w:tr w:rsidR="008030DC" w14:paraId="067E33D4" w14:textId="77777777" w:rsidTr="005F4BB3">
        <w:tc>
          <w:tcPr>
            <w:tcW w:w="6300" w:type="dxa"/>
          </w:tcPr>
          <w:p w14:paraId="7A71AB2E" w14:textId="709FA132" w:rsidR="008030DC" w:rsidRPr="00FF0E71" w:rsidRDefault="00FF0E71">
            <w:pPr>
              <w:rPr>
                <w:rFonts w:ascii="Arial" w:hAnsi="Arial" w:cs="Arial"/>
                <w:sz w:val="24"/>
                <w:szCs w:val="24"/>
              </w:rPr>
            </w:pPr>
            <w:r w:rsidRPr="00FF0E71">
              <w:rPr>
                <w:rFonts w:ascii="Arial" w:hAnsi="Arial" w:cs="Arial"/>
                <w:sz w:val="24"/>
                <w:szCs w:val="24"/>
              </w:rPr>
              <w:t>What’s New/Updated</w:t>
            </w:r>
          </w:p>
        </w:tc>
        <w:tc>
          <w:tcPr>
            <w:tcW w:w="4230" w:type="dxa"/>
          </w:tcPr>
          <w:p w14:paraId="75C0F4DA" w14:textId="3DC60AD1" w:rsidR="008030DC" w:rsidRPr="00FF0E71" w:rsidRDefault="00FF0E71">
            <w:pPr>
              <w:rPr>
                <w:rFonts w:ascii="Arial" w:hAnsi="Arial" w:cs="Arial"/>
                <w:sz w:val="24"/>
                <w:szCs w:val="24"/>
              </w:rPr>
            </w:pPr>
            <w:r w:rsidRPr="00FF0E71">
              <w:rPr>
                <w:rFonts w:ascii="Arial" w:hAnsi="Arial" w:cs="Arial"/>
                <w:sz w:val="24"/>
                <w:szCs w:val="24"/>
              </w:rPr>
              <w:t>Steps You Need to Take:</w:t>
            </w:r>
          </w:p>
        </w:tc>
      </w:tr>
      <w:tr w:rsidR="008030DC" w14:paraId="0E5197DE" w14:textId="77777777" w:rsidTr="005F4BB3">
        <w:trPr>
          <w:trHeight w:val="2015"/>
        </w:trPr>
        <w:tc>
          <w:tcPr>
            <w:tcW w:w="6300" w:type="dxa"/>
          </w:tcPr>
          <w:p w14:paraId="1611C9FB" w14:textId="77777777" w:rsidR="00FF0E71" w:rsidRDefault="00FF0E71">
            <w:pPr>
              <w:rPr>
                <w:rFonts w:ascii="Arial" w:hAnsi="Arial" w:cs="Arial"/>
                <w:sz w:val="24"/>
                <w:szCs w:val="24"/>
              </w:rPr>
            </w:pPr>
            <w:r w:rsidRPr="00FF0E71">
              <w:rPr>
                <w:rFonts w:ascii="Arial" w:hAnsi="Arial" w:cs="Arial"/>
                <w:b/>
                <w:bCs/>
                <w:sz w:val="24"/>
                <w:szCs w:val="24"/>
              </w:rPr>
              <w:t>State Minimum Wage &amp; Exempt Salaries</w:t>
            </w:r>
            <w:r w:rsidRPr="00FF0E71">
              <w:rPr>
                <w:rFonts w:ascii="Arial" w:hAnsi="Arial" w:cs="Arial"/>
                <w:sz w:val="24"/>
                <w:szCs w:val="24"/>
              </w:rPr>
              <w:t xml:space="preserve">: </w:t>
            </w:r>
          </w:p>
          <w:p w14:paraId="3C01162B" w14:textId="437E54C3" w:rsidR="00FF0E71" w:rsidRDefault="00FF0E71">
            <w:pPr>
              <w:rPr>
                <w:rFonts w:ascii="Arial" w:hAnsi="Arial" w:cs="Arial"/>
                <w:sz w:val="24"/>
                <w:szCs w:val="24"/>
              </w:rPr>
            </w:pPr>
            <w:r w:rsidRPr="00FF0E71">
              <w:rPr>
                <w:rFonts w:ascii="Arial" w:hAnsi="Arial" w:cs="Arial"/>
                <w:sz w:val="24"/>
                <w:szCs w:val="24"/>
              </w:rPr>
              <w:t xml:space="preserve">The State’s minimum wage is increasing to $16.50/hour for all employers on January 1, 2025. </w:t>
            </w:r>
            <w:r>
              <w:rPr>
                <w:rFonts w:ascii="Arial" w:hAnsi="Arial" w:cs="Arial"/>
                <w:sz w:val="24"/>
                <w:szCs w:val="24"/>
              </w:rPr>
              <w:t>This will impact all of our non-medical centers.</w:t>
            </w:r>
          </w:p>
          <w:p w14:paraId="21E80AB7" w14:textId="77777777" w:rsidR="00FF0E71" w:rsidRDefault="00FF0E71">
            <w:pPr>
              <w:rPr>
                <w:rFonts w:ascii="Arial" w:hAnsi="Arial" w:cs="Arial"/>
                <w:sz w:val="24"/>
                <w:szCs w:val="24"/>
              </w:rPr>
            </w:pPr>
          </w:p>
          <w:p w14:paraId="6FDFB7A8" w14:textId="7495A72F" w:rsidR="00093D89" w:rsidRDefault="00FF0E71">
            <w:pPr>
              <w:rPr>
                <w:rFonts w:ascii="Arial" w:hAnsi="Arial" w:cs="Arial"/>
                <w:sz w:val="24"/>
                <w:szCs w:val="24"/>
              </w:rPr>
            </w:pPr>
            <w:r w:rsidRPr="00FF0E71">
              <w:rPr>
                <w:rFonts w:ascii="Arial" w:hAnsi="Arial" w:cs="Arial"/>
                <w:sz w:val="24"/>
                <w:szCs w:val="24"/>
              </w:rPr>
              <w:t>The minimum exempt employee salary (i.e., professional, administrative, executive exemptions) for 2025 is $68,640/year.</w:t>
            </w:r>
          </w:p>
          <w:p w14:paraId="22754C0D" w14:textId="77777777" w:rsidR="00FF0E71" w:rsidRDefault="00FF0E71">
            <w:pPr>
              <w:rPr>
                <w:rFonts w:ascii="Arial" w:hAnsi="Arial" w:cs="Arial"/>
                <w:sz w:val="24"/>
                <w:szCs w:val="24"/>
              </w:rPr>
            </w:pPr>
          </w:p>
          <w:p w14:paraId="3296FD65" w14:textId="2ABEC36A" w:rsidR="00FF0E71" w:rsidRPr="00FF0E71" w:rsidRDefault="00FF0E71">
            <w:pPr>
              <w:rPr>
                <w:rFonts w:ascii="Arial" w:hAnsi="Arial" w:cs="Arial"/>
                <w:sz w:val="24"/>
                <w:szCs w:val="24"/>
              </w:rPr>
            </w:pPr>
            <w:r>
              <w:rPr>
                <w:rFonts w:ascii="Arial" w:hAnsi="Arial" w:cs="Arial"/>
                <w:sz w:val="24"/>
                <w:szCs w:val="24"/>
              </w:rPr>
              <w:t>Note that Prop 32 to increase minimum wage even further was narrowly defeated</w:t>
            </w:r>
          </w:p>
        </w:tc>
        <w:tc>
          <w:tcPr>
            <w:tcW w:w="4230" w:type="dxa"/>
          </w:tcPr>
          <w:p w14:paraId="717109D3" w14:textId="77777777" w:rsidR="00FF0E71" w:rsidRPr="00FF0E71" w:rsidRDefault="00FF0E71" w:rsidP="00FF0E71">
            <w:pPr>
              <w:numPr>
                <w:ilvl w:val="0"/>
                <w:numId w:val="2"/>
              </w:numPr>
              <w:rPr>
                <w:rFonts w:ascii="Arial" w:hAnsi="Arial" w:cs="Arial"/>
                <w:sz w:val="24"/>
                <w:szCs w:val="24"/>
              </w:rPr>
            </w:pPr>
            <w:r w:rsidRPr="00FF0E71">
              <w:rPr>
                <w:rFonts w:ascii="Arial" w:hAnsi="Arial" w:cs="Arial"/>
                <w:sz w:val="24"/>
                <w:szCs w:val="24"/>
              </w:rPr>
              <w:t>Budget to comply with new minimum wage (and minimum exempt salary) amounts</w:t>
            </w:r>
          </w:p>
          <w:p w14:paraId="1892D506" w14:textId="77777777" w:rsidR="00FF0E71" w:rsidRPr="00FF0E71" w:rsidRDefault="00FF0E71" w:rsidP="00FF0E71">
            <w:pPr>
              <w:numPr>
                <w:ilvl w:val="0"/>
                <w:numId w:val="2"/>
              </w:numPr>
              <w:rPr>
                <w:rFonts w:ascii="Arial" w:hAnsi="Arial" w:cs="Arial"/>
                <w:sz w:val="24"/>
                <w:szCs w:val="24"/>
              </w:rPr>
            </w:pPr>
            <w:r w:rsidRPr="00FF0E71">
              <w:rPr>
                <w:rFonts w:ascii="Arial" w:hAnsi="Arial" w:cs="Arial"/>
                <w:sz w:val="24"/>
                <w:szCs w:val="24"/>
              </w:rPr>
              <w:t>Prepare to update Wage Theft Notices for non-exempt employees as needed</w:t>
            </w:r>
          </w:p>
          <w:p w14:paraId="5402F3E9" w14:textId="17C1521D" w:rsidR="00FF0E71" w:rsidRPr="00FF0E71" w:rsidRDefault="00A140A3" w:rsidP="00FF0E71">
            <w:pPr>
              <w:numPr>
                <w:ilvl w:val="0"/>
                <w:numId w:val="2"/>
              </w:numPr>
              <w:rPr>
                <w:rFonts w:ascii="Arial" w:hAnsi="Arial" w:cs="Arial"/>
                <w:sz w:val="24"/>
                <w:szCs w:val="24"/>
              </w:rPr>
            </w:pPr>
            <w:r>
              <w:rPr>
                <w:rFonts w:ascii="Arial" w:hAnsi="Arial" w:cs="Arial"/>
                <w:sz w:val="24"/>
                <w:szCs w:val="24"/>
              </w:rPr>
              <w:t xml:space="preserve">Make sure to </w:t>
            </w:r>
            <w:r w:rsidR="00FF0E71" w:rsidRPr="00FF0E71">
              <w:rPr>
                <w:rFonts w:ascii="Arial" w:hAnsi="Arial" w:cs="Arial"/>
                <w:sz w:val="24"/>
                <w:szCs w:val="24"/>
              </w:rPr>
              <w:t>update the required minimum wage workplace posting</w:t>
            </w:r>
            <w:r>
              <w:rPr>
                <w:rFonts w:ascii="Arial" w:hAnsi="Arial" w:cs="Arial"/>
                <w:sz w:val="24"/>
                <w:szCs w:val="24"/>
              </w:rPr>
              <w:t>.</w:t>
            </w:r>
          </w:p>
          <w:p w14:paraId="6583DA10" w14:textId="77777777" w:rsidR="008030DC" w:rsidRPr="00FF0E71" w:rsidRDefault="008030DC">
            <w:pPr>
              <w:rPr>
                <w:rFonts w:ascii="Arial" w:hAnsi="Arial" w:cs="Arial"/>
                <w:sz w:val="24"/>
                <w:szCs w:val="24"/>
              </w:rPr>
            </w:pPr>
          </w:p>
        </w:tc>
      </w:tr>
      <w:tr w:rsidR="008030DC" w14:paraId="513BB359" w14:textId="77777777" w:rsidTr="005F4BB3">
        <w:tc>
          <w:tcPr>
            <w:tcW w:w="6300" w:type="dxa"/>
          </w:tcPr>
          <w:p w14:paraId="05507F5D" w14:textId="77777777" w:rsidR="005F4BB3" w:rsidRDefault="005F4BB3">
            <w:pPr>
              <w:rPr>
                <w:rFonts w:ascii="Arial" w:hAnsi="Arial" w:cs="Arial"/>
                <w:sz w:val="24"/>
                <w:szCs w:val="24"/>
              </w:rPr>
            </w:pPr>
            <w:r w:rsidRPr="005F4BB3">
              <w:rPr>
                <w:rFonts w:ascii="Arial" w:hAnsi="Arial" w:cs="Arial"/>
                <w:b/>
                <w:bCs/>
                <w:sz w:val="24"/>
                <w:szCs w:val="24"/>
              </w:rPr>
              <w:t>Health Care Minimum Wage:</w:t>
            </w:r>
            <w:r w:rsidRPr="005F4BB3">
              <w:rPr>
                <w:rFonts w:ascii="Arial" w:hAnsi="Arial" w:cs="Arial"/>
                <w:sz w:val="24"/>
                <w:szCs w:val="24"/>
              </w:rPr>
              <w:t xml:space="preserve"> </w:t>
            </w:r>
          </w:p>
          <w:p w14:paraId="790A1253" w14:textId="77777777" w:rsidR="005F4BB3" w:rsidRDefault="005F4BB3">
            <w:pPr>
              <w:rPr>
                <w:rFonts w:ascii="Arial" w:hAnsi="Arial" w:cs="Arial"/>
                <w:sz w:val="24"/>
                <w:szCs w:val="24"/>
              </w:rPr>
            </w:pPr>
            <w:r>
              <w:rPr>
                <w:rFonts w:ascii="Arial" w:hAnsi="Arial" w:cs="Arial"/>
                <w:sz w:val="24"/>
                <w:szCs w:val="24"/>
              </w:rPr>
              <w:t>Although delayed several times, this law went into effect on October 16, 2025 and affects all our medical clinics.</w:t>
            </w:r>
          </w:p>
          <w:p w14:paraId="3D1BC842" w14:textId="77777777" w:rsidR="005F4BB3" w:rsidRDefault="005F4BB3">
            <w:pPr>
              <w:rPr>
                <w:rFonts w:ascii="Arial" w:hAnsi="Arial" w:cs="Arial"/>
                <w:sz w:val="24"/>
                <w:szCs w:val="24"/>
              </w:rPr>
            </w:pPr>
          </w:p>
          <w:p w14:paraId="6B3BE362" w14:textId="1AF1AADE" w:rsidR="008030DC" w:rsidRPr="005F4BB3" w:rsidRDefault="005F4BB3">
            <w:pPr>
              <w:rPr>
                <w:rFonts w:ascii="Arial" w:hAnsi="Arial" w:cs="Arial"/>
                <w:sz w:val="24"/>
                <w:szCs w:val="24"/>
              </w:rPr>
            </w:pPr>
            <w:r w:rsidRPr="005F4BB3">
              <w:rPr>
                <w:rFonts w:ascii="Arial" w:hAnsi="Arial" w:cs="Arial"/>
                <w:sz w:val="24"/>
                <w:szCs w:val="24"/>
              </w:rPr>
              <w:t xml:space="preserve">To remain classified as exempt, covered health care employees must earn a monthly salary of 1.5 times the applicable healthcare minimum wage, </w:t>
            </w:r>
            <w:r w:rsidRPr="005F4BB3">
              <w:rPr>
                <w:rFonts w:ascii="Arial" w:hAnsi="Arial" w:cs="Arial"/>
                <w:b/>
                <w:bCs/>
                <w:sz w:val="24"/>
                <w:szCs w:val="24"/>
              </w:rPr>
              <w:t>OR</w:t>
            </w:r>
            <w:r w:rsidRPr="005F4BB3">
              <w:rPr>
                <w:rFonts w:ascii="Arial" w:hAnsi="Arial" w:cs="Arial"/>
                <w:sz w:val="24"/>
                <w:szCs w:val="24"/>
              </w:rPr>
              <w:t xml:space="preserve"> 2 times California’s minimum wage, </w:t>
            </w:r>
            <w:r w:rsidRPr="005F4BB3">
              <w:rPr>
                <w:rFonts w:ascii="Arial" w:hAnsi="Arial" w:cs="Arial"/>
                <w:b/>
                <w:bCs/>
                <w:sz w:val="24"/>
                <w:szCs w:val="24"/>
              </w:rPr>
              <w:t>whichever is greater.</w:t>
            </w:r>
            <w:r w:rsidRPr="005F4BB3">
              <w:rPr>
                <w:rFonts w:ascii="Arial" w:hAnsi="Arial" w:cs="Arial"/>
                <w:sz w:val="24"/>
                <w:szCs w:val="24"/>
              </w:rPr>
              <w:t xml:space="preserve"> </w:t>
            </w:r>
          </w:p>
        </w:tc>
        <w:tc>
          <w:tcPr>
            <w:tcW w:w="4230" w:type="dxa"/>
          </w:tcPr>
          <w:p w14:paraId="164403AC" w14:textId="3E162C42" w:rsidR="005F4BB3" w:rsidRPr="005F4BB3" w:rsidRDefault="005F4BB3" w:rsidP="005F4BB3">
            <w:pPr>
              <w:numPr>
                <w:ilvl w:val="0"/>
                <w:numId w:val="2"/>
              </w:numPr>
            </w:pPr>
            <w:r>
              <w:rPr>
                <w:rFonts w:ascii="Arial" w:hAnsi="Arial" w:cs="Arial"/>
                <w:sz w:val="24"/>
                <w:szCs w:val="24"/>
              </w:rPr>
              <w:t>If you were unaware that this went into effect – immediately back pay the difference between they were paid from 10/16 to now.</w:t>
            </w:r>
          </w:p>
          <w:p w14:paraId="489AEAEC" w14:textId="66C74730" w:rsidR="005F4BB3" w:rsidRPr="005F4BB3" w:rsidRDefault="005F4BB3" w:rsidP="005F4BB3">
            <w:pPr>
              <w:numPr>
                <w:ilvl w:val="0"/>
                <w:numId w:val="2"/>
              </w:numPr>
            </w:pPr>
            <w:r w:rsidRPr="005F4BB3">
              <w:rPr>
                <w:rFonts w:ascii="Arial" w:hAnsi="Arial" w:cs="Arial"/>
                <w:sz w:val="24"/>
                <w:szCs w:val="24"/>
              </w:rPr>
              <w:t xml:space="preserve"> </w:t>
            </w:r>
            <w:r>
              <w:rPr>
                <w:rFonts w:ascii="Arial" w:hAnsi="Arial" w:cs="Arial"/>
                <w:sz w:val="24"/>
                <w:szCs w:val="24"/>
              </w:rPr>
              <w:t>Make sure all salaried employees will receive $68.640 or more in 2025</w:t>
            </w:r>
          </w:p>
          <w:p w14:paraId="0C426A2D" w14:textId="77777777" w:rsidR="008030DC" w:rsidRPr="00093D89" w:rsidRDefault="005F4BB3" w:rsidP="005F4BB3">
            <w:pPr>
              <w:numPr>
                <w:ilvl w:val="0"/>
                <w:numId w:val="2"/>
              </w:numPr>
            </w:pPr>
            <w:r w:rsidRPr="005F4BB3">
              <w:rPr>
                <w:rFonts w:ascii="Arial" w:hAnsi="Arial" w:cs="Arial"/>
                <w:sz w:val="24"/>
                <w:szCs w:val="24"/>
              </w:rPr>
              <w:t xml:space="preserve"> Update Wage Theft Notices for non-exempt employees as needed</w:t>
            </w:r>
          </w:p>
          <w:p w14:paraId="738F083B" w14:textId="6CD705CF" w:rsidR="00093D89" w:rsidRDefault="00093D89" w:rsidP="00093D89">
            <w:pPr>
              <w:numPr>
                <w:ilvl w:val="0"/>
                <w:numId w:val="2"/>
              </w:numPr>
            </w:pPr>
            <w:r w:rsidRPr="00093D89">
              <w:rPr>
                <w:rFonts w:ascii="Arial" w:hAnsi="Arial" w:cs="Arial"/>
                <w:sz w:val="24"/>
                <w:szCs w:val="24"/>
              </w:rPr>
              <w:t xml:space="preserve">Post Supplemental </w:t>
            </w:r>
            <w:r>
              <w:rPr>
                <w:rFonts w:ascii="Arial" w:hAnsi="Arial" w:cs="Arial"/>
                <w:sz w:val="24"/>
                <w:szCs w:val="24"/>
              </w:rPr>
              <w:t>Healthcare</w:t>
            </w:r>
            <w:r w:rsidRPr="00093D89">
              <w:rPr>
                <w:rFonts w:ascii="Arial" w:hAnsi="Arial" w:cs="Arial"/>
                <w:sz w:val="24"/>
                <w:szCs w:val="24"/>
              </w:rPr>
              <w:t xml:space="preserve"> Minimum Wage Poster</w:t>
            </w:r>
            <w:r>
              <w:rPr>
                <w:rFonts w:ascii="Arial" w:hAnsi="Arial" w:cs="Arial"/>
                <w:sz w:val="24"/>
                <w:szCs w:val="24"/>
              </w:rPr>
              <w:t xml:space="preserve"> which can be found at: d</w:t>
            </w:r>
            <w:r w:rsidRPr="00093D89">
              <w:rPr>
                <w:rFonts w:ascii="Arial" w:hAnsi="Arial" w:cs="Arial"/>
                <w:sz w:val="24"/>
                <w:szCs w:val="24"/>
              </w:rPr>
              <w:t>ir.ca.gov/</w:t>
            </w:r>
            <w:proofErr w:type="spellStart"/>
            <w:r w:rsidRPr="00093D89">
              <w:rPr>
                <w:rFonts w:ascii="Arial" w:hAnsi="Arial" w:cs="Arial"/>
                <w:sz w:val="24"/>
                <w:szCs w:val="24"/>
              </w:rPr>
              <w:t>iwc</w:t>
            </w:r>
            <w:proofErr w:type="spellEnd"/>
            <w:r w:rsidRPr="00093D89">
              <w:rPr>
                <w:rFonts w:ascii="Arial" w:hAnsi="Arial" w:cs="Arial"/>
                <w:sz w:val="24"/>
                <w:szCs w:val="24"/>
              </w:rPr>
              <w:t>/MW-2024-HC-SUPPLEMENT.pdf</w:t>
            </w:r>
          </w:p>
        </w:tc>
      </w:tr>
      <w:tr w:rsidR="00F21971" w14:paraId="6B503EAF" w14:textId="77777777" w:rsidTr="005F4BB3">
        <w:tc>
          <w:tcPr>
            <w:tcW w:w="6300" w:type="dxa"/>
          </w:tcPr>
          <w:p w14:paraId="14CB4E1F" w14:textId="77777777" w:rsidR="004D53D0" w:rsidRDefault="004D53D0">
            <w:pPr>
              <w:rPr>
                <w:rFonts w:ascii="Arial" w:hAnsi="Arial" w:cs="Arial"/>
                <w:sz w:val="24"/>
                <w:szCs w:val="24"/>
              </w:rPr>
            </w:pPr>
            <w:r w:rsidRPr="004D53D0">
              <w:rPr>
                <w:rFonts w:ascii="Arial" w:hAnsi="Arial" w:cs="Arial"/>
                <w:b/>
                <w:bCs/>
                <w:sz w:val="24"/>
                <w:szCs w:val="24"/>
              </w:rPr>
              <w:t>Job Advertisements:</w:t>
            </w:r>
            <w:r w:rsidRPr="004D53D0">
              <w:rPr>
                <w:rFonts w:ascii="Arial" w:hAnsi="Arial" w:cs="Arial"/>
                <w:sz w:val="24"/>
                <w:szCs w:val="24"/>
              </w:rPr>
              <w:t xml:space="preserve"> </w:t>
            </w:r>
          </w:p>
          <w:p w14:paraId="41314763" w14:textId="77777777" w:rsidR="00F21971" w:rsidRDefault="004D53D0">
            <w:pPr>
              <w:rPr>
                <w:rFonts w:ascii="Arial" w:hAnsi="Arial" w:cs="Arial"/>
                <w:sz w:val="24"/>
                <w:szCs w:val="24"/>
              </w:rPr>
            </w:pPr>
            <w:r w:rsidRPr="004D53D0">
              <w:rPr>
                <w:rFonts w:ascii="Arial" w:hAnsi="Arial" w:cs="Arial"/>
                <w:sz w:val="24"/>
                <w:szCs w:val="24"/>
              </w:rPr>
              <w:t xml:space="preserve">Precludes employers from including a statement in a job advertisement, posting, application etc. that an applicant must have a valid driver’s license unless: (1) the employer reasonably expects driving to be one of the job functions for the position, </w:t>
            </w:r>
            <w:r w:rsidRPr="004D53D0">
              <w:rPr>
                <w:rFonts w:ascii="Arial" w:hAnsi="Arial" w:cs="Arial"/>
                <w:b/>
                <w:bCs/>
                <w:sz w:val="24"/>
                <w:szCs w:val="24"/>
              </w:rPr>
              <w:t>AND</w:t>
            </w:r>
            <w:r w:rsidRPr="004D53D0">
              <w:rPr>
                <w:rFonts w:ascii="Arial" w:hAnsi="Arial" w:cs="Arial"/>
                <w:sz w:val="24"/>
                <w:szCs w:val="24"/>
              </w:rPr>
              <w:t xml:space="preserve"> (2) the employer reasonably believes that satisfying the job function using an alternative form of transportation (walking, biking, taxi, etc.) would not be comparable in travel time or cost to employer. </w:t>
            </w:r>
          </w:p>
          <w:p w14:paraId="0C74C55F" w14:textId="7D5DDBEF" w:rsidR="00AB1F04" w:rsidRPr="004D53D0" w:rsidRDefault="00AB1F04">
            <w:pPr>
              <w:rPr>
                <w:rFonts w:ascii="Arial" w:hAnsi="Arial" w:cs="Arial"/>
                <w:sz w:val="24"/>
                <w:szCs w:val="24"/>
              </w:rPr>
            </w:pPr>
          </w:p>
        </w:tc>
        <w:tc>
          <w:tcPr>
            <w:tcW w:w="4230" w:type="dxa"/>
          </w:tcPr>
          <w:p w14:paraId="5FBB3F6A" w14:textId="4D0E7C82" w:rsidR="00417586" w:rsidRPr="00417586" w:rsidRDefault="00417586" w:rsidP="00417586">
            <w:pPr>
              <w:numPr>
                <w:ilvl w:val="0"/>
                <w:numId w:val="4"/>
              </w:numPr>
              <w:shd w:val="clear" w:color="auto" w:fill="FFFFFF"/>
              <w:spacing w:before="100" w:beforeAutospacing="1" w:after="100" w:afterAutospacing="1"/>
              <w:rPr>
                <w:rFonts w:ascii="Arial" w:eastAsia="Times New Roman" w:hAnsi="Arial" w:cs="Arial"/>
                <w:color w:val="1C1C1C"/>
                <w:kern w:val="0"/>
                <w:sz w:val="24"/>
                <w:szCs w:val="24"/>
                <w14:ligatures w14:val="none"/>
              </w:rPr>
            </w:pPr>
            <w:r w:rsidRPr="00656190">
              <w:rPr>
                <w:rFonts w:ascii="Arial" w:eastAsia="Times New Roman" w:hAnsi="Arial" w:cs="Arial"/>
                <w:color w:val="1C1C1C"/>
                <w:kern w:val="0"/>
                <w:sz w:val="24"/>
                <w:szCs w:val="24"/>
                <w14:ligatures w14:val="none"/>
              </w:rPr>
              <w:t>Review</w:t>
            </w:r>
            <w:r w:rsidRPr="00417586">
              <w:rPr>
                <w:rFonts w:ascii="Arial" w:eastAsia="Times New Roman" w:hAnsi="Arial" w:cs="Arial"/>
                <w:color w:val="1C1C1C"/>
                <w:kern w:val="0"/>
                <w:sz w:val="24"/>
                <w:szCs w:val="24"/>
                <w14:ligatures w14:val="none"/>
              </w:rPr>
              <w:t xml:space="preserve"> your job advertisements, postings, etc. for compliance</w:t>
            </w:r>
            <w:r w:rsidRPr="00656190">
              <w:rPr>
                <w:rFonts w:ascii="Arial" w:eastAsia="Times New Roman" w:hAnsi="Arial" w:cs="Arial"/>
                <w:color w:val="1C1C1C"/>
                <w:kern w:val="0"/>
                <w:sz w:val="24"/>
                <w:szCs w:val="24"/>
                <w14:ligatures w14:val="none"/>
              </w:rPr>
              <w:t>.</w:t>
            </w:r>
          </w:p>
          <w:p w14:paraId="76C47F30" w14:textId="42F1001D" w:rsidR="00F21971" w:rsidRPr="004D53D0" w:rsidRDefault="00F21971" w:rsidP="00417586">
            <w:pPr>
              <w:pStyle w:val="ListParagraph"/>
            </w:pPr>
          </w:p>
        </w:tc>
      </w:tr>
      <w:tr w:rsidR="008030DC" w14:paraId="02CB5A93" w14:textId="77777777" w:rsidTr="005F4BB3">
        <w:tc>
          <w:tcPr>
            <w:tcW w:w="6300" w:type="dxa"/>
          </w:tcPr>
          <w:p w14:paraId="476963DE" w14:textId="5680BD1F" w:rsidR="008030DC" w:rsidRPr="00CC6630" w:rsidRDefault="00F82603">
            <w:pPr>
              <w:rPr>
                <w:rFonts w:ascii="Arial" w:hAnsi="Arial" w:cs="Arial"/>
                <w:b/>
                <w:bCs/>
                <w:sz w:val="24"/>
                <w:szCs w:val="24"/>
              </w:rPr>
            </w:pPr>
            <w:r w:rsidRPr="00CC6630">
              <w:rPr>
                <w:rFonts w:ascii="Arial" w:hAnsi="Arial" w:cs="Arial"/>
                <w:b/>
                <w:bCs/>
                <w:sz w:val="24"/>
                <w:szCs w:val="24"/>
              </w:rPr>
              <w:t>Poster Updates:</w:t>
            </w:r>
          </w:p>
          <w:p w14:paraId="15A40676" w14:textId="77777777" w:rsidR="00CC6630" w:rsidRDefault="00CC6630" w:rsidP="00CC6630">
            <w:pPr>
              <w:rPr>
                <w:rFonts w:ascii="Arial" w:hAnsi="Arial" w:cs="Arial"/>
                <w:sz w:val="24"/>
                <w:szCs w:val="24"/>
              </w:rPr>
            </w:pPr>
            <w:r w:rsidRPr="00CC6630">
              <w:rPr>
                <w:rFonts w:ascii="Arial" w:hAnsi="Arial" w:cs="Arial"/>
                <w:sz w:val="24"/>
                <w:szCs w:val="24"/>
                <w:u w:val="single"/>
              </w:rPr>
              <w:t>Whistleblower Poster</w:t>
            </w:r>
            <w:r w:rsidRPr="00CC6630">
              <w:rPr>
                <w:rFonts w:ascii="Arial" w:hAnsi="Arial" w:cs="Arial"/>
                <w:sz w:val="24"/>
                <w:szCs w:val="24"/>
              </w:rPr>
              <w:t xml:space="preserve">: AB 2299 mandates the Labor Commissioner to update its Whistleblower Are Protected poster, to ensure compliance with all current legal requirements. As of January 1, 2025, employers that post the model notice will be deemed in compliance with the requirement to prominently display the list of employees’ whistleblower rights and responsibilities. </w:t>
            </w:r>
          </w:p>
          <w:p w14:paraId="0C10C1AA" w14:textId="77777777" w:rsidR="00CC6630" w:rsidRDefault="00CC6630" w:rsidP="00CC6630">
            <w:pPr>
              <w:rPr>
                <w:rFonts w:ascii="Arial" w:hAnsi="Arial" w:cs="Arial"/>
                <w:sz w:val="24"/>
                <w:szCs w:val="24"/>
              </w:rPr>
            </w:pPr>
          </w:p>
          <w:p w14:paraId="7A5C372B" w14:textId="0F2D1216" w:rsidR="00F82603" w:rsidRPr="00CC6630" w:rsidRDefault="00CC6630" w:rsidP="00CC6630">
            <w:pPr>
              <w:rPr>
                <w:rFonts w:ascii="Arial" w:hAnsi="Arial" w:cs="Arial"/>
                <w:sz w:val="24"/>
                <w:szCs w:val="24"/>
              </w:rPr>
            </w:pPr>
            <w:r w:rsidRPr="00960BB0">
              <w:rPr>
                <w:rFonts w:ascii="Arial" w:hAnsi="Arial" w:cs="Arial"/>
                <w:sz w:val="24"/>
                <w:szCs w:val="24"/>
                <w:u w:val="single"/>
              </w:rPr>
              <w:t>Workers’ Compensation Poster:</w:t>
            </w:r>
            <w:r w:rsidRPr="00CC6630">
              <w:rPr>
                <w:rFonts w:ascii="Arial" w:hAnsi="Arial" w:cs="Arial"/>
                <w:sz w:val="24"/>
                <w:szCs w:val="24"/>
              </w:rPr>
              <w:t xml:space="preserve"> AB 1870 mandates that employers now add information to the workers’ compensation rights notice regarding an employee’s right to consult a licensed attorney to advise them of their rights under workers’ compensations laws, and specify that attorney’s fees will be paid from an injured employee’s recovery in most instances. The form and content of the notice will be made available to employers, and insurers will be required to provide it to policy holders</w:t>
            </w:r>
            <w:r w:rsidR="00F21971">
              <w:rPr>
                <w:rFonts w:ascii="Arial" w:hAnsi="Arial" w:cs="Arial"/>
                <w:sz w:val="24"/>
                <w:szCs w:val="24"/>
              </w:rPr>
              <w:t>.</w:t>
            </w:r>
          </w:p>
        </w:tc>
        <w:tc>
          <w:tcPr>
            <w:tcW w:w="4230" w:type="dxa"/>
          </w:tcPr>
          <w:p w14:paraId="6AA87CD3" w14:textId="77777777" w:rsidR="00851A43" w:rsidRPr="00851A43" w:rsidRDefault="00851A43" w:rsidP="00851A43">
            <w:pPr>
              <w:rPr>
                <w:rFonts w:ascii="Arial" w:hAnsi="Arial" w:cs="Arial"/>
                <w:sz w:val="24"/>
                <w:szCs w:val="24"/>
              </w:rPr>
            </w:pPr>
          </w:p>
          <w:p w14:paraId="7135D294" w14:textId="77777777" w:rsidR="008030DC" w:rsidRDefault="00851A43" w:rsidP="00851A43">
            <w:pPr>
              <w:pStyle w:val="ListParagraph"/>
              <w:numPr>
                <w:ilvl w:val="0"/>
                <w:numId w:val="6"/>
              </w:numPr>
              <w:rPr>
                <w:rFonts w:ascii="Arial" w:hAnsi="Arial" w:cs="Arial"/>
                <w:sz w:val="24"/>
                <w:szCs w:val="24"/>
              </w:rPr>
            </w:pPr>
            <w:r w:rsidRPr="00851A43">
              <w:rPr>
                <w:rFonts w:ascii="Arial" w:hAnsi="Arial" w:cs="Arial"/>
                <w:sz w:val="24"/>
                <w:szCs w:val="24"/>
              </w:rPr>
              <w:t>Ensure you have an up-to</w:t>
            </w:r>
            <w:r>
              <w:rPr>
                <w:rFonts w:ascii="Arial" w:hAnsi="Arial" w:cs="Arial"/>
                <w:sz w:val="24"/>
                <w:szCs w:val="24"/>
              </w:rPr>
              <w:t>-</w:t>
            </w:r>
            <w:r w:rsidRPr="00851A43">
              <w:rPr>
                <w:rFonts w:ascii="Arial" w:hAnsi="Arial" w:cs="Arial"/>
                <w:sz w:val="24"/>
                <w:szCs w:val="24"/>
              </w:rPr>
              <w:t>date Labor Law Poster at your worksites.</w:t>
            </w:r>
          </w:p>
          <w:p w14:paraId="3EBD64A8" w14:textId="10BF7236" w:rsidR="00150B92" w:rsidRPr="00851A43" w:rsidRDefault="00150B92" w:rsidP="00851A43">
            <w:pPr>
              <w:pStyle w:val="ListParagraph"/>
              <w:numPr>
                <w:ilvl w:val="0"/>
                <w:numId w:val="6"/>
              </w:numPr>
              <w:rPr>
                <w:rFonts w:ascii="Arial" w:hAnsi="Arial" w:cs="Arial"/>
                <w:sz w:val="24"/>
                <w:szCs w:val="24"/>
              </w:rPr>
            </w:pPr>
            <w:r>
              <w:rPr>
                <w:rFonts w:ascii="Arial" w:hAnsi="Arial" w:cs="Arial"/>
                <w:sz w:val="24"/>
                <w:szCs w:val="24"/>
              </w:rPr>
              <w:t>You can go to indiv</w:t>
            </w:r>
            <w:r w:rsidR="00DC66FB">
              <w:rPr>
                <w:rFonts w:ascii="Arial" w:hAnsi="Arial" w:cs="Arial"/>
                <w:sz w:val="24"/>
                <w:szCs w:val="24"/>
              </w:rPr>
              <w:t>idual sites and download posters for each law – it is easier (and cheaper when you consider your time) to order an</w:t>
            </w:r>
            <w:r w:rsidR="00524658">
              <w:rPr>
                <w:rFonts w:ascii="Arial" w:hAnsi="Arial" w:cs="Arial"/>
                <w:sz w:val="24"/>
                <w:szCs w:val="24"/>
              </w:rPr>
              <w:t xml:space="preserve"> all-in-one Federal and State Poster.   Two good sites to order from are Cal Chamber and California Employers Association.  </w:t>
            </w:r>
          </w:p>
        </w:tc>
      </w:tr>
      <w:tr w:rsidR="008030DC" w14:paraId="0FC01027" w14:textId="77777777" w:rsidTr="005F4BB3">
        <w:tc>
          <w:tcPr>
            <w:tcW w:w="6300" w:type="dxa"/>
          </w:tcPr>
          <w:p w14:paraId="32027FBB" w14:textId="77777777" w:rsidR="00965CC2" w:rsidRDefault="00965CC2">
            <w:pPr>
              <w:rPr>
                <w:rFonts w:ascii="Arial" w:hAnsi="Arial" w:cs="Arial"/>
                <w:b/>
                <w:bCs/>
                <w:sz w:val="24"/>
                <w:szCs w:val="24"/>
              </w:rPr>
            </w:pPr>
            <w:r w:rsidRPr="00965CC2">
              <w:rPr>
                <w:rFonts w:ascii="Arial" w:hAnsi="Arial" w:cs="Arial"/>
                <w:b/>
                <w:bCs/>
                <w:sz w:val="24"/>
                <w:szCs w:val="24"/>
              </w:rPr>
              <w:t xml:space="preserve">Cal-Savers/Retirement: </w:t>
            </w:r>
          </w:p>
          <w:p w14:paraId="4E5E6F33" w14:textId="067E2FF5" w:rsidR="008030DC" w:rsidRDefault="00965CC2">
            <w:r w:rsidRPr="00965CC2">
              <w:rPr>
                <w:rFonts w:ascii="Arial" w:hAnsi="Arial" w:cs="Arial"/>
                <w:sz w:val="24"/>
                <w:szCs w:val="24"/>
              </w:rPr>
              <w:t xml:space="preserve">In 2022, California passed SB 1126 to expand the </w:t>
            </w:r>
            <w:proofErr w:type="spellStart"/>
            <w:r w:rsidRPr="00965CC2">
              <w:rPr>
                <w:rFonts w:ascii="Arial" w:hAnsi="Arial" w:cs="Arial"/>
                <w:sz w:val="24"/>
                <w:szCs w:val="24"/>
              </w:rPr>
              <w:t>CalSavers</w:t>
            </w:r>
            <w:proofErr w:type="spellEnd"/>
            <w:r w:rsidRPr="00965CC2">
              <w:rPr>
                <w:rFonts w:ascii="Arial" w:hAnsi="Arial" w:cs="Arial"/>
                <w:sz w:val="24"/>
                <w:szCs w:val="24"/>
              </w:rPr>
              <w:t xml:space="preserve"> mandate to employers with at least one employee. If the employer does not offer a retirement plan, they must enroll employees in </w:t>
            </w:r>
            <w:proofErr w:type="spellStart"/>
            <w:r w:rsidRPr="00965CC2">
              <w:rPr>
                <w:rFonts w:ascii="Arial" w:hAnsi="Arial" w:cs="Arial"/>
                <w:sz w:val="24"/>
                <w:szCs w:val="24"/>
              </w:rPr>
              <w:t>CalSavers</w:t>
            </w:r>
            <w:proofErr w:type="spellEnd"/>
            <w:r w:rsidRPr="00965CC2">
              <w:rPr>
                <w:rFonts w:ascii="Arial" w:hAnsi="Arial" w:cs="Arial"/>
                <w:sz w:val="24"/>
                <w:szCs w:val="24"/>
              </w:rPr>
              <w:t xml:space="preserve">, and employees have the ability to opt out. As of January 1, 2023, employers with an average of 1-4 employees (as reported to the EDD in the preceding calendar year), who are not otherwise exempt from participation, can register with </w:t>
            </w:r>
            <w:proofErr w:type="spellStart"/>
            <w:r w:rsidRPr="00965CC2">
              <w:rPr>
                <w:rFonts w:ascii="Arial" w:hAnsi="Arial" w:cs="Arial"/>
                <w:sz w:val="24"/>
                <w:szCs w:val="24"/>
              </w:rPr>
              <w:t>CalSavers</w:t>
            </w:r>
            <w:proofErr w:type="spellEnd"/>
            <w:r w:rsidRPr="00965CC2">
              <w:rPr>
                <w:rFonts w:ascii="Arial" w:hAnsi="Arial" w:cs="Arial"/>
                <w:sz w:val="24"/>
                <w:szCs w:val="24"/>
              </w:rPr>
              <w:t>.</w:t>
            </w:r>
          </w:p>
        </w:tc>
        <w:tc>
          <w:tcPr>
            <w:tcW w:w="4230" w:type="dxa"/>
          </w:tcPr>
          <w:p w14:paraId="0BFF751C" w14:textId="77777777" w:rsidR="008030DC" w:rsidRDefault="00656190" w:rsidP="00656190">
            <w:pPr>
              <w:pStyle w:val="ListParagraph"/>
              <w:numPr>
                <w:ilvl w:val="0"/>
                <w:numId w:val="7"/>
              </w:numPr>
              <w:rPr>
                <w:rFonts w:ascii="Arial" w:hAnsi="Arial" w:cs="Arial"/>
                <w:sz w:val="24"/>
                <w:szCs w:val="24"/>
              </w:rPr>
            </w:pPr>
            <w:r w:rsidRPr="00656190">
              <w:rPr>
                <w:rFonts w:ascii="Arial" w:hAnsi="Arial" w:cs="Arial"/>
                <w:sz w:val="24"/>
                <w:szCs w:val="24"/>
              </w:rPr>
              <w:t xml:space="preserve">Employers with 1-4 employees who do not offer a qualifying retirement plan must enroll in </w:t>
            </w:r>
            <w:proofErr w:type="spellStart"/>
            <w:r w:rsidRPr="00656190">
              <w:rPr>
                <w:rFonts w:ascii="Arial" w:hAnsi="Arial" w:cs="Arial"/>
                <w:sz w:val="24"/>
                <w:szCs w:val="24"/>
              </w:rPr>
              <w:t>CalSavers</w:t>
            </w:r>
            <w:proofErr w:type="spellEnd"/>
            <w:r w:rsidRPr="00656190">
              <w:rPr>
                <w:rFonts w:ascii="Arial" w:hAnsi="Arial" w:cs="Arial"/>
                <w:sz w:val="24"/>
                <w:szCs w:val="24"/>
              </w:rPr>
              <w:t xml:space="preserve"> by December 31, 2025.</w:t>
            </w:r>
          </w:p>
          <w:p w14:paraId="27F214FB" w14:textId="77777777" w:rsidR="0052401D" w:rsidRPr="0052401D" w:rsidRDefault="0052401D" w:rsidP="0052401D">
            <w:pPr>
              <w:rPr>
                <w:rFonts w:ascii="Arial" w:hAnsi="Arial" w:cs="Arial"/>
                <w:sz w:val="24"/>
                <w:szCs w:val="24"/>
              </w:rPr>
            </w:pPr>
          </w:p>
          <w:p w14:paraId="17DCE168" w14:textId="7B453063" w:rsidR="00656190" w:rsidRPr="0052401D" w:rsidRDefault="00656190" w:rsidP="00656190">
            <w:pPr>
              <w:rPr>
                <w:rFonts w:ascii="Arial" w:hAnsi="Arial" w:cs="Arial"/>
                <w:i/>
                <w:iCs/>
                <w:sz w:val="24"/>
                <w:szCs w:val="24"/>
              </w:rPr>
            </w:pPr>
            <w:r w:rsidRPr="0052401D">
              <w:rPr>
                <w:rFonts w:ascii="Arial" w:hAnsi="Arial" w:cs="Arial"/>
                <w:i/>
                <w:iCs/>
                <w:sz w:val="24"/>
                <w:szCs w:val="24"/>
              </w:rPr>
              <w:t>Note: some centers have been given a religious waiver and told they don’t have to register; others have not.</w:t>
            </w:r>
          </w:p>
        </w:tc>
      </w:tr>
      <w:tr w:rsidR="008030DC" w14:paraId="1D9045A8" w14:textId="77777777" w:rsidTr="005F4BB3">
        <w:tc>
          <w:tcPr>
            <w:tcW w:w="6300" w:type="dxa"/>
          </w:tcPr>
          <w:p w14:paraId="5BBE3F14" w14:textId="77777777" w:rsidR="00705F88" w:rsidRDefault="00705F88">
            <w:pPr>
              <w:rPr>
                <w:rFonts w:ascii="Arial" w:hAnsi="Arial" w:cs="Arial"/>
                <w:sz w:val="24"/>
                <w:szCs w:val="24"/>
              </w:rPr>
            </w:pPr>
            <w:r w:rsidRPr="00705F88">
              <w:rPr>
                <w:rFonts w:ascii="Arial" w:hAnsi="Arial" w:cs="Arial"/>
                <w:b/>
                <w:bCs/>
                <w:sz w:val="24"/>
                <w:szCs w:val="24"/>
              </w:rPr>
              <w:t>Workplace Violence Prevention Standard:</w:t>
            </w:r>
            <w:r w:rsidRPr="00705F88">
              <w:rPr>
                <w:rFonts w:ascii="Arial" w:hAnsi="Arial" w:cs="Arial"/>
                <w:sz w:val="24"/>
                <w:szCs w:val="24"/>
              </w:rPr>
              <w:t xml:space="preserve"> </w:t>
            </w:r>
          </w:p>
          <w:p w14:paraId="5F5A95CD" w14:textId="77777777" w:rsidR="00FF272B" w:rsidRDefault="00705F88">
            <w:pPr>
              <w:rPr>
                <w:rFonts w:ascii="Arial" w:hAnsi="Arial" w:cs="Arial"/>
                <w:sz w:val="24"/>
                <w:szCs w:val="24"/>
              </w:rPr>
            </w:pPr>
            <w:r w:rsidRPr="00705F88">
              <w:rPr>
                <w:rFonts w:ascii="Arial" w:hAnsi="Arial" w:cs="Arial"/>
                <w:sz w:val="24"/>
                <w:szCs w:val="24"/>
              </w:rPr>
              <w:t xml:space="preserve">All employers, subject to few exceptions, must establish, implement, and maintain a written workplace violence prevention plan (WVPP), </w:t>
            </w:r>
            <w:r w:rsidRPr="0057497E">
              <w:rPr>
                <w:rFonts w:ascii="Arial" w:hAnsi="Arial" w:cs="Arial"/>
                <w:sz w:val="24"/>
                <w:szCs w:val="24"/>
                <w:u w:val="single"/>
              </w:rPr>
              <w:t>by July 1, 2024</w:t>
            </w:r>
            <w:r w:rsidRPr="00705F88">
              <w:rPr>
                <w:rFonts w:ascii="Arial" w:hAnsi="Arial" w:cs="Arial"/>
                <w:sz w:val="24"/>
                <w:szCs w:val="24"/>
              </w:rPr>
              <w:t xml:space="preserve">, and satisfy ongoing annual requirements. </w:t>
            </w:r>
          </w:p>
          <w:p w14:paraId="5C7661B0" w14:textId="77777777" w:rsidR="00FF272B" w:rsidRDefault="00FF272B">
            <w:pPr>
              <w:rPr>
                <w:rFonts w:ascii="Arial" w:hAnsi="Arial" w:cs="Arial"/>
                <w:sz w:val="24"/>
                <w:szCs w:val="24"/>
              </w:rPr>
            </w:pPr>
          </w:p>
          <w:p w14:paraId="56385294" w14:textId="3131BEED" w:rsidR="008030DC" w:rsidRPr="00705F88" w:rsidRDefault="00705F88">
            <w:pPr>
              <w:rPr>
                <w:rFonts w:ascii="Arial" w:hAnsi="Arial" w:cs="Arial"/>
                <w:sz w:val="24"/>
                <w:szCs w:val="24"/>
              </w:rPr>
            </w:pPr>
            <w:r w:rsidRPr="00705F88">
              <w:rPr>
                <w:rFonts w:ascii="Arial" w:hAnsi="Arial" w:cs="Arial"/>
                <w:sz w:val="24"/>
                <w:szCs w:val="24"/>
              </w:rPr>
              <w:t>By December 1, 2025, Cal/OSHA is required to propose a regulation, and by December 31, 2026, adopt the regulation. However, the law is currently enforceable by Cal/OSHA, as of July 1, 2024. Effective Date: For most relevant portions July 1, 2024 (Signed: September 30, 2023)</w:t>
            </w:r>
          </w:p>
        </w:tc>
        <w:tc>
          <w:tcPr>
            <w:tcW w:w="4230" w:type="dxa"/>
          </w:tcPr>
          <w:p w14:paraId="1A052628" w14:textId="2F1374A8" w:rsidR="00A25FA4" w:rsidRDefault="00C456D8" w:rsidP="00C456D8">
            <w:pPr>
              <w:pStyle w:val="ListParagraph"/>
              <w:numPr>
                <w:ilvl w:val="0"/>
                <w:numId w:val="3"/>
              </w:numPr>
              <w:rPr>
                <w:rFonts w:ascii="Arial" w:hAnsi="Arial" w:cs="Arial"/>
                <w:sz w:val="24"/>
                <w:szCs w:val="24"/>
              </w:rPr>
            </w:pPr>
            <w:r>
              <w:rPr>
                <w:rFonts w:ascii="Arial" w:hAnsi="Arial" w:cs="Arial"/>
                <w:sz w:val="24"/>
                <w:szCs w:val="24"/>
              </w:rPr>
              <w:t xml:space="preserve">If </w:t>
            </w:r>
            <w:r w:rsidR="00F744D9">
              <w:rPr>
                <w:rFonts w:ascii="Arial" w:hAnsi="Arial" w:cs="Arial"/>
                <w:sz w:val="24"/>
                <w:szCs w:val="24"/>
              </w:rPr>
              <w:t>you have not yet created a Workplace Violence Prevention Plan – do so now!</w:t>
            </w:r>
          </w:p>
          <w:p w14:paraId="387D9655" w14:textId="0761562F" w:rsidR="00FF272B" w:rsidRDefault="00FF272B" w:rsidP="00C456D8">
            <w:pPr>
              <w:pStyle w:val="ListParagraph"/>
              <w:numPr>
                <w:ilvl w:val="0"/>
                <w:numId w:val="3"/>
              </w:numPr>
              <w:rPr>
                <w:rFonts w:ascii="Arial" w:hAnsi="Arial" w:cs="Arial"/>
                <w:sz w:val="24"/>
                <w:szCs w:val="24"/>
              </w:rPr>
            </w:pPr>
            <w:r>
              <w:rPr>
                <w:rFonts w:ascii="Arial" w:hAnsi="Arial" w:cs="Arial"/>
                <w:sz w:val="24"/>
                <w:szCs w:val="24"/>
              </w:rPr>
              <w:t xml:space="preserve">Make sure that you engage in </w:t>
            </w:r>
            <w:r w:rsidRPr="00077F89">
              <w:rPr>
                <w:rFonts w:ascii="Arial" w:hAnsi="Arial" w:cs="Arial"/>
                <w:sz w:val="24"/>
                <w:szCs w:val="24"/>
              </w:rPr>
              <w:t>engage in periodic hazard inspection and safety meetings.</w:t>
            </w:r>
          </w:p>
          <w:p w14:paraId="4C820CEC" w14:textId="77777777" w:rsidR="00077F89" w:rsidRDefault="00705F88" w:rsidP="00077F89">
            <w:pPr>
              <w:pStyle w:val="ListParagraph"/>
              <w:numPr>
                <w:ilvl w:val="0"/>
                <w:numId w:val="3"/>
              </w:numPr>
              <w:rPr>
                <w:rFonts w:ascii="Arial" w:hAnsi="Arial" w:cs="Arial"/>
                <w:sz w:val="24"/>
                <w:szCs w:val="24"/>
              </w:rPr>
            </w:pPr>
            <w:r w:rsidRPr="00077F89">
              <w:rPr>
                <w:rFonts w:ascii="Arial" w:hAnsi="Arial" w:cs="Arial"/>
                <w:sz w:val="24"/>
                <w:szCs w:val="24"/>
              </w:rPr>
              <w:t xml:space="preserve">On at least an annual basis, employers must: </w:t>
            </w:r>
          </w:p>
          <w:p w14:paraId="0D4B772E" w14:textId="6B16F069" w:rsidR="00077F89" w:rsidRDefault="00705F88" w:rsidP="00077F89">
            <w:pPr>
              <w:pStyle w:val="ListParagraph"/>
              <w:numPr>
                <w:ilvl w:val="1"/>
                <w:numId w:val="3"/>
              </w:numPr>
              <w:rPr>
                <w:rFonts w:ascii="Arial" w:hAnsi="Arial" w:cs="Arial"/>
                <w:sz w:val="24"/>
                <w:szCs w:val="24"/>
              </w:rPr>
            </w:pPr>
            <w:r w:rsidRPr="00077F89">
              <w:rPr>
                <w:rFonts w:ascii="Arial" w:hAnsi="Arial" w:cs="Arial"/>
                <w:sz w:val="24"/>
                <w:szCs w:val="24"/>
              </w:rPr>
              <w:t xml:space="preserve">Review and update the WVPP </w:t>
            </w:r>
          </w:p>
          <w:p w14:paraId="69EF60E0" w14:textId="77777777" w:rsidR="00FF272B" w:rsidRDefault="00705F88" w:rsidP="00077F89">
            <w:pPr>
              <w:pStyle w:val="ListParagraph"/>
              <w:numPr>
                <w:ilvl w:val="1"/>
                <w:numId w:val="3"/>
              </w:numPr>
              <w:rPr>
                <w:rFonts w:ascii="Arial" w:hAnsi="Arial" w:cs="Arial"/>
                <w:sz w:val="24"/>
                <w:szCs w:val="24"/>
              </w:rPr>
            </w:pPr>
            <w:r w:rsidRPr="00077F89">
              <w:rPr>
                <w:rFonts w:ascii="Arial" w:hAnsi="Arial" w:cs="Arial"/>
                <w:sz w:val="24"/>
                <w:szCs w:val="24"/>
              </w:rPr>
              <w:t xml:space="preserve">Solicit feedback from employees and authorized representatives </w:t>
            </w:r>
          </w:p>
          <w:p w14:paraId="6662967C" w14:textId="77777777" w:rsidR="00FF272B" w:rsidRDefault="00705F88" w:rsidP="00077F89">
            <w:pPr>
              <w:pStyle w:val="ListParagraph"/>
              <w:numPr>
                <w:ilvl w:val="1"/>
                <w:numId w:val="3"/>
              </w:numPr>
              <w:rPr>
                <w:rFonts w:ascii="Arial" w:hAnsi="Arial" w:cs="Arial"/>
                <w:sz w:val="24"/>
                <w:szCs w:val="24"/>
              </w:rPr>
            </w:pPr>
            <w:r w:rsidRPr="00077F89">
              <w:rPr>
                <w:rFonts w:ascii="Arial" w:hAnsi="Arial" w:cs="Arial"/>
                <w:sz w:val="24"/>
                <w:szCs w:val="24"/>
              </w:rPr>
              <w:t>Conduct staff training on the WVPP, satisfying specific requirements</w:t>
            </w:r>
            <w:r w:rsidR="00FF272B">
              <w:rPr>
                <w:rFonts w:ascii="Arial" w:hAnsi="Arial" w:cs="Arial"/>
                <w:sz w:val="24"/>
                <w:szCs w:val="24"/>
              </w:rPr>
              <w:t>.</w:t>
            </w:r>
          </w:p>
          <w:p w14:paraId="49C4CA43" w14:textId="3C340132" w:rsidR="008030DC" w:rsidRPr="00077F89" w:rsidRDefault="008030DC" w:rsidP="00FF272B">
            <w:pPr>
              <w:pStyle w:val="ListParagraph"/>
              <w:ind w:left="1440"/>
              <w:rPr>
                <w:rFonts w:ascii="Arial" w:hAnsi="Arial" w:cs="Arial"/>
                <w:sz w:val="24"/>
                <w:szCs w:val="24"/>
              </w:rPr>
            </w:pPr>
          </w:p>
        </w:tc>
      </w:tr>
      <w:tr w:rsidR="008030DC" w14:paraId="09A65915" w14:textId="77777777" w:rsidTr="005F4BB3">
        <w:tc>
          <w:tcPr>
            <w:tcW w:w="6300" w:type="dxa"/>
          </w:tcPr>
          <w:p w14:paraId="0FD9893E" w14:textId="77777777" w:rsidR="00093D89" w:rsidRPr="00093D89" w:rsidRDefault="00093D89">
            <w:pPr>
              <w:rPr>
                <w:rFonts w:ascii="Arial" w:hAnsi="Arial" w:cs="Arial"/>
                <w:b/>
                <w:bCs/>
                <w:sz w:val="24"/>
                <w:szCs w:val="24"/>
              </w:rPr>
            </w:pPr>
            <w:r w:rsidRPr="00093D89">
              <w:rPr>
                <w:rFonts w:ascii="Arial" w:hAnsi="Arial" w:cs="Arial"/>
                <w:b/>
                <w:bCs/>
                <w:sz w:val="24"/>
                <w:szCs w:val="24"/>
              </w:rPr>
              <w:t>Local Ordinances:</w:t>
            </w:r>
          </w:p>
          <w:p w14:paraId="1EA5876C" w14:textId="77777777" w:rsidR="00093D89" w:rsidRPr="00093D89" w:rsidRDefault="00093D89">
            <w:pPr>
              <w:rPr>
                <w:rFonts w:ascii="Arial" w:hAnsi="Arial" w:cs="Arial"/>
                <w:sz w:val="24"/>
                <w:szCs w:val="24"/>
              </w:rPr>
            </w:pPr>
            <w:r w:rsidRPr="00093D89">
              <w:rPr>
                <w:rFonts w:ascii="Arial" w:hAnsi="Arial" w:cs="Arial"/>
                <w:sz w:val="24"/>
                <w:szCs w:val="24"/>
              </w:rPr>
              <w:t xml:space="preserve">Fair Chance/Ban the Box: California law prohibits almost all employers with five or more employees from inquiring into criminal history on job applications and during the interview process. In certain localities, employers may have additional criminal history restrictions and obligations, including most recently in LA and San Diego County. </w:t>
            </w:r>
          </w:p>
          <w:p w14:paraId="0C8DD362" w14:textId="77777777" w:rsidR="00093D89" w:rsidRDefault="00093D89">
            <w:pPr>
              <w:rPr>
                <w:rFonts w:ascii="Arial" w:hAnsi="Arial" w:cs="Arial"/>
                <w:sz w:val="24"/>
                <w:szCs w:val="24"/>
              </w:rPr>
            </w:pPr>
            <w:r w:rsidRPr="00093D89">
              <w:rPr>
                <w:rFonts w:ascii="Arial" w:hAnsi="Arial" w:cs="Arial"/>
                <w:b/>
                <w:bCs/>
                <w:sz w:val="24"/>
                <w:szCs w:val="24"/>
              </w:rPr>
              <w:t>Los Angeles County</w:t>
            </w:r>
            <w:r w:rsidRPr="00093D89">
              <w:rPr>
                <w:rFonts w:ascii="Arial" w:hAnsi="Arial" w:cs="Arial"/>
                <w:sz w:val="24"/>
                <w:szCs w:val="24"/>
              </w:rPr>
              <w:t xml:space="preserve">: On September 3, 2024, LA County’s Fair Chance Ordinance went into effect, which applies to businesses with five or more employees located in the unincorporated areas of LA. The local ordinance has additional requirements beyond State law, including related to job ad requirements, written offer letter disclosures, and the individualized assessment process. There is a new required notice that must be posted. </w:t>
            </w:r>
          </w:p>
          <w:p w14:paraId="42CD054A" w14:textId="6EA6B580" w:rsidR="008030DC" w:rsidRDefault="00093D89">
            <w:r w:rsidRPr="00093D89">
              <w:rPr>
                <w:rFonts w:ascii="Arial" w:hAnsi="Arial" w:cs="Arial"/>
                <w:b/>
                <w:bCs/>
                <w:sz w:val="24"/>
                <w:szCs w:val="24"/>
              </w:rPr>
              <w:t>San Diego County:</w:t>
            </w:r>
            <w:r w:rsidRPr="00093D89">
              <w:rPr>
                <w:rFonts w:ascii="Arial" w:hAnsi="Arial" w:cs="Arial"/>
                <w:sz w:val="24"/>
                <w:szCs w:val="24"/>
              </w:rPr>
              <w:t xml:space="preserve"> On October 10, 2024, San Diego County’s Fair Chance Ordinance will go into effect, which applies to employers located or doing business in unincorporated areas of San Diego County who employ five or more employees. The local ordinance has additional requirements beyond state law, including related to the individualized assessment process, and applies to remote work and contracts where services will be performed in San Diego County.</w:t>
            </w:r>
          </w:p>
        </w:tc>
        <w:tc>
          <w:tcPr>
            <w:tcW w:w="4230" w:type="dxa"/>
          </w:tcPr>
          <w:p w14:paraId="1CB9C063" w14:textId="77777777" w:rsidR="0037165D" w:rsidRPr="0037165D" w:rsidRDefault="0037165D" w:rsidP="0037165D">
            <w:pPr>
              <w:numPr>
                <w:ilvl w:val="0"/>
                <w:numId w:val="2"/>
              </w:numPr>
            </w:pPr>
            <w:r w:rsidRPr="0037165D">
              <w:rPr>
                <w:rFonts w:ascii="Arial" w:hAnsi="Arial" w:cs="Arial"/>
                <w:sz w:val="24"/>
                <w:szCs w:val="24"/>
              </w:rPr>
              <w:t>If covered, post LA County Fair Chance Ordinance Notice in workplace;</w:t>
            </w:r>
          </w:p>
          <w:p w14:paraId="4E50B7C1" w14:textId="519F0C43" w:rsidR="008030DC" w:rsidRDefault="0037165D" w:rsidP="0037165D">
            <w:pPr>
              <w:numPr>
                <w:ilvl w:val="0"/>
                <w:numId w:val="2"/>
              </w:numPr>
            </w:pPr>
            <w:r w:rsidRPr="0037165D">
              <w:rPr>
                <w:rFonts w:ascii="Arial" w:hAnsi="Arial" w:cs="Arial"/>
                <w:sz w:val="24"/>
                <w:szCs w:val="24"/>
              </w:rPr>
              <w:t>Update processes to comply with local requirements;</w:t>
            </w:r>
          </w:p>
        </w:tc>
      </w:tr>
    </w:tbl>
    <w:p w14:paraId="69878BC3" w14:textId="77777777" w:rsidR="008030DC" w:rsidRDefault="008030DC"/>
    <w:sectPr w:rsidR="008030DC" w:rsidSect="0052401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0374"/>
    <w:multiLevelType w:val="hybridMultilevel"/>
    <w:tmpl w:val="57C4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2AAC"/>
    <w:multiLevelType w:val="multilevel"/>
    <w:tmpl w:val="9786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50AE1"/>
    <w:multiLevelType w:val="multilevel"/>
    <w:tmpl w:val="2AA8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73AF8"/>
    <w:multiLevelType w:val="hybridMultilevel"/>
    <w:tmpl w:val="DEBE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2277F"/>
    <w:multiLevelType w:val="hybridMultilevel"/>
    <w:tmpl w:val="FD48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501F4"/>
    <w:multiLevelType w:val="hybridMultilevel"/>
    <w:tmpl w:val="32F0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A0509"/>
    <w:multiLevelType w:val="multilevel"/>
    <w:tmpl w:val="9A38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DC"/>
    <w:rsid w:val="00077F89"/>
    <w:rsid w:val="00093D89"/>
    <w:rsid w:val="00150B92"/>
    <w:rsid w:val="00312D0D"/>
    <w:rsid w:val="0037165D"/>
    <w:rsid w:val="003D1074"/>
    <w:rsid w:val="00417586"/>
    <w:rsid w:val="00422A29"/>
    <w:rsid w:val="004D53D0"/>
    <w:rsid w:val="0052401D"/>
    <w:rsid w:val="00524658"/>
    <w:rsid w:val="0057497E"/>
    <w:rsid w:val="005B64A1"/>
    <w:rsid w:val="005F4BB3"/>
    <w:rsid w:val="006314E2"/>
    <w:rsid w:val="00656190"/>
    <w:rsid w:val="00705F88"/>
    <w:rsid w:val="007C3221"/>
    <w:rsid w:val="008030DC"/>
    <w:rsid w:val="00851A43"/>
    <w:rsid w:val="00960BB0"/>
    <w:rsid w:val="00965CC2"/>
    <w:rsid w:val="00A140A3"/>
    <w:rsid w:val="00A25FA4"/>
    <w:rsid w:val="00AB1F04"/>
    <w:rsid w:val="00B519ED"/>
    <w:rsid w:val="00C456D8"/>
    <w:rsid w:val="00C52AB6"/>
    <w:rsid w:val="00C65143"/>
    <w:rsid w:val="00CC6630"/>
    <w:rsid w:val="00D022F4"/>
    <w:rsid w:val="00D44F8E"/>
    <w:rsid w:val="00DC66FB"/>
    <w:rsid w:val="00ED0D07"/>
    <w:rsid w:val="00F16342"/>
    <w:rsid w:val="00F21971"/>
    <w:rsid w:val="00F613E0"/>
    <w:rsid w:val="00F744D9"/>
    <w:rsid w:val="00F82603"/>
    <w:rsid w:val="00FF0E71"/>
    <w:rsid w:val="00FF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AE86"/>
  <w15:chartTrackingRefBased/>
  <w15:docId w15:val="{88B52CC8-3795-4A60-AF68-10422AFF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63479">
      <w:bodyDiv w:val="1"/>
      <w:marLeft w:val="0"/>
      <w:marRight w:val="0"/>
      <w:marTop w:val="0"/>
      <w:marBottom w:val="0"/>
      <w:divBdr>
        <w:top w:val="none" w:sz="0" w:space="0" w:color="auto"/>
        <w:left w:val="none" w:sz="0" w:space="0" w:color="auto"/>
        <w:bottom w:val="none" w:sz="0" w:space="0" w:color="auto"/>
        <w:right w:val="none" w:sz="0" w:space="0" w:color="auto"/>
      </w:divBdr>
    </w:div>
    <w:div w:id="976106340">
      <w:bodyDiv w:val="1"/>
      <w:marLeft w:val="0"/>
      <w:marRight w:val="0"/>
      <w:marTop w:val="0"/>
      <w:marBottom w:val="0"/>
      <w:divBdr>
        <w:top w:val="none" w:sz="0" w:space="0" w:color="auto"/>
        <w:left w:val="none" w:sz="0" w:space="0" w:color="auto"/>
        <w:bottom w:val="none" w:sz="0" w:space="0" w:color="auto"/>
        <w:right w:val="none" w:sz="0" w:space="0" w:color="auto"/>
      </w:divBdr>
    </w:div>
    <w:div w:id="17411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sueallred8@gmail.com</dc:creator>
  <cp:keywords/>
  <dc:description/>
  <cp:lastModifiedBy>Allison Martinez</cp:lastModifiedBy>
  <cp:revision>2</cp:revision>
  <dcterms:created xsi:type="dcterms:W3CDTF">2024-11-25T14:09:00Z</dcterms:created>
  <dcterms:modified xsi:type="dcterms:W3CDTF">2024-11-25T14:09:00Z</dcterms:modified>
</cp:coreProperties>
</file>